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A12082《拍卖/变卖商品、货物或者其他财产清单》</w:t>
      </w:r>
    </w:p>
    <w:p>
      <w:pPr>
        <w:pStyle w:val="9"/>
        <w:rPr>
          <w:color w:val="000000"/>
        </w:rPr>
      </w:pPr>
      <w:bookmarkStart w:id="0" w:name="_GoBack"/>
      <w:bookmarkEnd w:id="0"/>
      <w:r>
        <w:rPr>
          <w:rFonts w:hint="eastAsia"/>
          <w:b w:val="0"/>
          <w:bCs w:val="0"/>
          <w:color w:val="000000"/>
          <w:spacing w:val="20"/>
        </w:rPr>
        <w:t>拍卖/变卖商品、货物或者其他财产清单</w:t>
      </w:r>
    </w:p>
    <w:tbl>
      <w:tblPr>
        <w:tblStyle w:val="2"/>
        <w:tblW w:w="83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9"/>
        <w:gridCol w:w="902"/>
        <w:gridCol w:w="901"/>
        <w:gridCol w:w="901"/>
        <w:gridCol w:w="1082"/>
        <w:gridCol w:w="16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商品、货物或者</w:t>
            </w:r>
          </w:p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其他财产名称</w:t>
            </w:r>
          </w:p>
        </w:tc>
        <w:tc>
          <w:tcPr>
            <w:tcW w:w="90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单位</w:t>
            </w:r>
          </w:p>
        </w:tc>
        <w:tc>
          <w:tcPr>
            <w:tcW w:w="90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数量</w:t>
            </w:r>
          </w:p>
        </w:tc>
        <w:tc>
          <w:tcPr>
            <w:tcW w:w="90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单价</w:t>
            </w:r>
          </w:p>
        </w:tc>
        <w:tc>
          <w:tcPr>
            <w:tcW w:w="108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金额</w:t>
            </w:r>
          </w:p>
        </w:tc>
        <w:tc>
          <w:tcPr>
            <w:tcW w:w="168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合    计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人民币（大写）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</w:tbl>
    <w:p>
      <w:pPr>
        <w:pStyle w:val="10"/>
        <w:rPr>
          <w:color w:val="000000"/>
          <w:szCs w:val="22"/>
        </w:rPr>
      </w:pPr>
      <w:r>
        <w:rPr>
          <w:rFonts w:hint="eastAsia" w:ascii="宋体" w:hAnsi="宋体" w:eastAsia="宋体" w:cs="宋体"/>
          <w:color w:val="000000"/>
          <w:szCs w:val="22"/>
        </w:rPr>
        <w:t>税务机关（章）：</w:t>
      </w:r>
      <w:r>
        <w:rPr>
          <w:rFonts w:hint="eastAsia"/>
          <w:color w:val="000000"/>
          <w:szCs w:val="22"/>
        </w:rPr>
        <w:t xml:space="preserve">               </w:t>
      </w:r>
      <w:r>
        <w:rPr>
          <w:rFonts w:hint="eastAsia" w:ascii="宋体" w:hAnsi="宋体" w:eastAsia="宋体" w:cs="宋体"/>
          <w:color w:val="000000"/>
          <w:szCs w:val="22"/>
        </w:rPr>
        <w:t>拍卖（变卖）、收购单位：（章）</w:t>
      </w:r>
      <w:r>
        <w:rPr>
          <w:rFonts w:hint="eastAsia"/>
          <w:color w:val="000000"/>
          <w:szCs w:val="22"/>
        </w:rPr>
        <w:br w:type="textWrapping"/>
      </w:r>
      <w:r>
        <w:rPr>
          <w:rFonts w:hint="eastAsia" w:ascii="宋体" w:hAnsi="宋体" w:eastAsia="宋体" w:cs="宋体"/>
          <w:color w:val="000000"/>
          <w:szCs w:val="22"/>
        </w:rPr>
        <w:t>拍卖（变卖）、收购单位经手人：</w:t>
      </w:r>
    </w:p>
    <w:p>
      <w:pPr>
        <w:pStyle w:val="8"/>
        <w:ind w:firstLine="5040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年   月    日</w:t>
      </w:r>
    </w:p>
    <w:p>
      <w:pPr>
        <w:pStyle w:val="6"/>
        <w:ind w:firstLine="422"/>
        <w:rPr>
          <w:rFonts w:hint="eastAsia" w:ascii="宋体" w:eastAsia="宋体"/>
        </w:rPr>
      </w:pPr>
      <w:r>
        <w:rPr>
          <w:rFonts w:hint="eastAsia" w:asci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1．本清单依据《中华人民共和国税收征管法》设置。    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2．适用范围：税务机关拍卖（变卖）商品、货物或者其他财产时使用。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3．本清单作为《拍卖（变卖）商品、货物或者其他财产结果通知书》的附件。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4．拍卖（变卖）人、收购单位、买受人、收购人不止一个时，应根据不同的对象分别填写清单。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5．本清单为A4竖式，一式三份，一份送被执行人，一份送拍卖（变卖）、收购单位，一份装入卷宗。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13397"/>
    <w:rsid w:val="1DD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_0"/>
    <w:basedOn w:val="5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2019-11-06T02:57:00Z</dcterms:created>
  <dc:creator>陈莉佳</dc:creator>
  <cp:lastModifiedBy>陈莉佳</cp:lastModifiedBy>
  <dcterms:modified xsi:type="dcterms:W3CDTF">2019-11-06T02:57:17Z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